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75284D">
      <w:pPr>
        <w:pStyle w:val="ConsTitle"/>
        <w:widowControl/>
        <w:tabs>
          <w:tab w:val="left" w:pos="1620"/>
        </w:tabs>
        <w:spacing w:line="320" w:lineRule="exact"/>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CB13CD">
      <w:pPr>
        <w:pStyle w:val="Standard"/>
        <w:spacing w:line="320" w:lineRule="exact"/>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75284D">
      <w:pPr>
        <w:pStyle w:val="Standard"/>
        <w:spacing w:line="320" w:lineRule="exact"/>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Ново-Садовая,222Б</w:t>
      </w:r>
      <w:r w:rsidR="00FD75EF" w:rsidRPr="00CB13CD">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стр.</w:t>
      </w:r>
      <w:r w:rsidR="00FD75EF" w:rsidRPr="00CB13CD">
        <w:rPr>
          <w:rFonts w:ascii="Times New Roman" w:eastAsia="Times New Roman" w:hAnsi="Times New Roman" w:cs="Times New Roman"/>
          <w:kern w:val="0"/>
        </w:rPr>
        <w:t>1</w:t>
      </w:r>
      <w:r w:rsidRPr="00CB13CD">
        <w:rPr>
          <w:rFonts w:ascii="Times New Roman" w:eastAsia="Times New Roman" w:hAnsi="Times New Roman" w:cs="Times New Roman"/>
          <w:kern w:val="0"/>
        </w:rPr>
        <w:t xml:space="preserve">. </w:t>
      </w:r>
    </w:p>
    <w:p w:rsidR="003E623A" w:rsidRPr="00CB13CD" w:rsidRDefault="003E623A" w:rsidP="009F4C62">
      <w:pPr>
        <w:pStyle w:val="Standard"/>
        <w:spacing w:line="320" w:lineRule="exact"/>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Ново-Садовая,</w:t>
      </w:r>
      <w:r w:rsidR="00BD5ED5">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222Б</w:t>
      </w:r>
      <w:r w:rsidR="009F4C62" w:rsidRPr="00CB13CD">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стр.</w:t>
      </w:r>
      <w:r w:rsidR="009F4C62" w:rsidRPr="00CB13CD">
        <w:rPr>
          <w:rFonts w:ascii="Times New Roman" w:eastAsia="Times New Roman" w:hAnsi="Times New Roman" w:cs="Times New Roman"/>
          <w:kern w:val="0"/>
        </w:rPr>
        <w:t>1.</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75284D">
      <w:pPr>
        <w:pStyle w:val="Standard"/>
        <w:spacing w:line="320" w:lineRule="exact"/>
        <w:jc w:val="center"/>
        <w:rPr>
          <w:b/>
          <w:bCs/>
        </w:rPr>
      </w:pPr>
    </w:p>
    <w:p w:rsidR="003E623A" w:rsidRDefault="003E623A" w:rsidP="0075284D">
      <w:pPr>
        <w:pStyle w:val="Standard"/>
        <w:spacing w:line="320" w:lineRule="exact"/>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BD5ED5" w:rsidRPr="009F4C62" w:rsidRDefault="00BD5ED5" w:rsidP="0075284D">
      <w:pPr>
        <w:pStyle w:val="Standard"/>
        <w:spacing w:line="320" w:lineRule="exact"/>
        <w:jc w:val="center"/>
        <w:rPr>
          <w:rFonts w:ascii="Times New Roman" w:eastAsia="Times New Roman" w:hAnsi="Times New Roman" w:cs="Times New Roman"/>
          <w:b/>
          <w:bCs/>
          <w:kern w:val="0"/>
        </w:rPr>
      </w:pP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w:t>
      </w:r>
      <w:proofErr w:type="gramStart"/>
      <w:r w:rsidRPr="00E97077">
        <w:rPr>
          <w:rFonts w:ascii="Times New Roman" w:hAnsi="Times New Roman" w:cs="Times New Roman"/>
          <w:i/>
          <w:iCs/>
          <w:sz w:val="24"/>
          <w:szCs w:val="24"/>
        </w:rPr>
        <w:t>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proofErr w:type="gramStart"/>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665216" w:rsidRPr="00C118D3">
        <w:rPr>
          <w:rFonts w:ascii="Times New Roman" w:hAnsi="Times New Roman" w:cs="Times New Roman"/>
          <w:kern w:val="0"/>
        </w:rPr>
        <w:t>60 (Шестидесяти)</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roofErr w:type="gramEnd"/>
    </w:p>
    <w:p w:rsidR="00665216" w:rsidRPr="00C118D3"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w:t>
      </w:r>
      <w:r w:rsidR="00665216" w:rsidRPr="00665216">
        <w:rPr>
          <w:rFonts w:ascii="Times New Roman" w:hAnsi="Times New Roman" w:cs="Times New Roman"/>
          <w:kern w:val="0"/>
        </w:rPr>
        <w:lastRenderedPageBreak/>
        <w:t xml:space="preserve">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9F4C62">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75284D">
      <w:pPr>
        <w:pStyle w:val="Standard"/>
        <w:shd w:val="clear" w:color="auto" w:fill="FFFFFF"/>
        <w:spacing w:line="320" w:lineRule="exact"/>
        <w:ind w:firstLine="709"/>
        <w:jc w:val="both"/>
        <w:rPr>
          <w:rFonts w:ascii="Times New Roman" w:hAnsi="Times New Roman" w:cs="Times New Roman"/>
        </w:rPr>
      </w:pPr>
      <w:r w:rsidRPr="009F4C62">
        <w:rPr>
          <w:rFonts w:ascii="Times New Roman" w:hAnsi="Times New Roman" w:cs="Times New Roman"/>
        </w:rPr>
        <w:t xml:space="preserve">3.1.2. </w:t>
      </w:r>
      <w:proofErr w:type="gramStart"/>
      <w:r w:rsidRPr="009F4C6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75284D">
      <w:pPr>
        <w:pStyle w:val="Standard"/>
        <w:shd w:val="clear" w:color="auto" w:fill="FFFFFF"/>
        <w:spacing w:line="320" w:lineRule="exact"/>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D5519E" w:rsidP="0075284D">
      <w:pPr>
        <w:pStyle w:val="Standard"/>
        <w:shd w:val="clear" w:color="auto" w:fill="FFFFFF"/>
        <w:spacing w:line="320" w:lineRule="exact"/>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w:t>
      </w:r>
      <w:r w:rsidRPr="007A7498">
        <w:rPr>
          <w:rFonts w:ascii="Times New Roman" w:hAnsi="Times New Roman" w:cs="Times New Roman"/>
          <w:sz w:val="24"/>
          <w:szCs w:val="24"/>
        </w:rPr>
        <w:lastRenderedPageBreak/>
        <w:t xml:space="preserve">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lastRenderedPageBreak/>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75284D">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75284D">
      <w:pPr>
        <w:pStyle w:val="Standard"/>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w:t>
      </w:r>
      <w:r w:rsidRPr="00FD75EF">
        <w:rPr>
          <w:rFonts w:ascii="Times New Roman" w:eastAsia="Times New Roman" w:hAnsi="Times New Roman" w:cs="Times New Roman"/>
          <w:kern w:val="0"/>
        </w:rPr>
        <w:lastRenderedPageBreak/>
        <w:t>быть соответственно законсервирован для предохранения от порчи во время транспортировки и хранения.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75284D">
      <w:pPr>
        <w:pStyle w:val="Standard"/>
        <w:shd w:val="clear" w:color="auto" w:fill="FFFFFF"/>
        <w:tabs>
          <w:tab w:val="left" w:pos="-1620"/>
        </w:tabs>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75284D">
      <w:pPr>
        <w:pStyle w:val="Standard"/>
        <w:shd w:val="clear" w:color="auto" w:fill="FFFFFF"/>
        <w:tabs>
          <w:tab w:val="left" w:pos="-2340"/>
        </w:tabs>
        <w:spacing w:line="320" w:lineRule="exact"/>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75284D">
      <w:pPr>
        <w:pStyle w:val="Standard"/>
        <w:shd w:val="clear" w:color="auto" w:fill="FFFFFF"/>
        <w:tabs>
          <w:tab w:val="left" w:pos="-2520"/>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75284D">
      <w:pPr>
        <w:pStyle w:val="ConsNormal"/>
        <w:spacing w:line="320" w:lineRule="exact"/>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75284D">
      <w:pPr>
        <w:pStyle w:val="ConsNormal"/>
        <w:tabs>
          <w:tab w:val="left" w:pos="-3402"/>
        </w:tabs>
        <w:spacing w:line="320" w:lineRule="exact"/>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Pr="005361E3" w:rsidRDefault="00232C42"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lastRenderedPageBreak/>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75284D">
      <w:pPr>
        <w:pStyle w:val="Standard"/>
        <w:spacing w:line="320" w:lineRule="exact"/>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A7498">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232C42" w:rsidRDefault="003E623A" w:rsidP="0075284D">
      <w:pPr>
        <w:pStyle w:val="Standard"/>
        <w:spacing w:line="320" w:lineRule="exact"/>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232C42" w:rsidRDefault="003E623A" w:rsidP="0075284D">
      <w:pPr>
        <w:pStyle w:val="Standard"/>
        <w:spacing w:line="320" w:lineRule="exact"/>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75284D">
      <w:pPr>
        <w:pStyle w:val="Standard"/>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75284D">
      <w:pPr>
        <w:pStyle w:val="a3"/>
        <w:tabs>
          <w:tab w:val="left" w:pos="-6804"/>
        </w:tabs>
        <w:spacing w:after="0" w:line="320" w:lineRule="exact"/>
        <w:ind w:firstLine="709"/>
        <w:jc w:val="cente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75284D">
      <w:pPr>
        <w:pStyle w:val="Standard"/>
        <w:spacing w:line="320" w:lineRule="exact"/>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lastRenderedPageBreak/>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71" w:rsidRDefault="00062B71" w:rsidP="0075284D">
      <w:pPr>
        <w:spacing w:after="0" w:line="240" w:lineRule="auto"/>
        <w:rPr>
          <w:rFonts w:cs="Times New Roman"/>
        </w:rPr>
      </w:pPr>
      <w:r>
        <w:rPr>
          <w:rFonts w:cs="Times New Roman"/>
        </w:rPr>
        <w:separator/>
      </w:r>
    </w:p>
  </w:endnote>
  <w:endnote w:type="continuationSeparator" w:id="0">
    <w:p w:rsidR="00062B71" w:rsidRDefault="00062B71"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71" w:rsidRDefault="00062B71" w:rsidP="0075284D">
      <w:pPr>
        <w:spacing w:after="0" w:line="240" w:lineRule="auto"/>
        <w:rPr>
          <w:rFonts w:cs="Times New Roman"/>
        </w:rPr>
      </w:pPr>
      <w:r>
        <w:rPr>
          <w:rFonts w:cs="Times New Roman"/>
        </w:rPr>
        <w:separator/>
      </w:r>
    </w:p>
  </w:footnote>
  <w:footnote w:type="continuationSeparator" w:id="0">
    <w:p w:rsidR="00062B71" w:rsidRDefault="00062B71"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E1E8A"/>
    <w:rsid w:val="00201F79"/>
    <w:rsid w:val="00232C42"/>
    <w:rsid w:val="00270858"/>
    <w:rsid w:val="00273CC7"/>
    <w:rsid w:val="002755C1"/>
    <w:rsid w:val="0028068F"/>
    <w:rsid w:val="00284896"/>
    <w:rsid w:val="002F7122"/>
    <w:rsid w:val="003A03AC"/>
    <w:rsid w:val="003B0522"/>
    <w:rsid w:val="003D1331"/>
    <w:rsid w:val="003E623A"/>
    <w:rsid w:val="003E6568"/>
    <w:rsid w:val="003F504C"/>
    <w:rsid w:val="00415C5B"/>
    <w:rsid w:val="00432319"/>
    <w:rsid w:val="0046181F"/>
    <w:rsid w:val="00482D18"/>
    <w:rsid w:val="004A10C3"/>
    <w:rsid w:val="00501011"/>
    <w:rsid w:val="00510FAD"/>
    <w:rsid w:val="00530C22"/>
    <w:rsid w:val="005361E3"/>
    <w:rsid w:val="00566267"/>
    <w:rsid w:val="00594F79"/>
    <w:rsid w:val="005D4D5F"/>
    <w:rsid w:val="00626488"/>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F4C62"/>
    <w:rsid w:val="00A43ECD"/>
    <w:rsid w:val="00A53B8E"/>
    <w:rsid w:val="00A83C04"/>
    <w:rsid w:val="00AA75C9"/>
    <w:rsid w:val="00AB3269"/>
    <w:rsid w:val="00AD4AD6"/>
    <w:rsid w:val="00AE2AD3"/>
    <w:rsid w:val="00AE5300"/>
    <w:rsid w:val="00AE58A8"/>
    <w:rsid w:val="00AF156A"/>
    <w:rsid w:val="00B636D0"/>
    <w:rsid w:val="00B909E6"/>
    <w:rsid w:val="00B9685A"/>
    <w:rsid w:val="00BD5ED5"/>
    <w:rsid w:val="00C118D3"/>
    <w:rsid w:val="00C73E0D"/>
    <w:rsid w:val="00C94CA8"/>
    <w:rsid w:val="00CB04C8"/>
    <w:rsid w:val="00CB13CD"/>
    <w:rsid w:val="00D5519E"/>
    <w:rsid w:val="00D56930"/>
    <w:rsid w:val="00D749CE"/>
    <w:rsid w:val="00DB3D19"/>
    <w:rsid w:val="00DC3D24"/>
    <w:rsid w:val="00DC3DCE"/>
    <w:rsid w:val="00DE1FDC"/>
    <w:rsid w:val="00E25238"/>
    <w:rsid w:val="00E41BB6"/>
    <w:rsid w:val="00E97077"/>
    <w:rsid w:val="00F00D23"/>
    <w:rsid w:val="00F216B2"/>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77D53-80E9-4EF9-9CCB-B4F47CE2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5459</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8</cp:revision>
  <dcterms:created xsi:type="dcterms:W3CDTF">2021-04-14T09:06:00Z</dcterms:created>
  <dcterms:modified xsi:type="dcterms:W3CDTF">2021-04-20T09:30:00Z</dcterms:modified>
</cp:coreProperties>
</file>